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-219075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5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45.0pt;mso-position-horizontal:absolute;mso-position-vertical-relative:text;margin-top:-17.2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1954783</wp:posOffset>
                </wp:positionH>
                <wp:positionV relativeFrom="paragraph">
                  <wp:posOffset>-158115</wp:posOffset>
                </wp:positionV>
                <wp:extent cx="3985260" cy="100965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53.9pt;mso-position-horizontal:absolute;mso-position-vertical-relative:text;margin-top:-12.4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hanging="2"/>
        <w:jc w:val="center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360" w:lineRule="auto"/>
      </w:pPr>
      <w:r>
        <w:rPr>
          <w:rFonts w:ascii="Arial" w:hAnsi="Arial" w:eastAsia="Arial" w:cs="Arial"/>
          <w:b/>
          <w:sz w:val="24"/>
          <w:szCs w:val="24"/>
        </w:rPr>
        <w:t xml:space="preserve">EDITAL DE PROJETO DE ENSINO Nº 03/202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5</w:t>
      </w:r>
      <w:r/>
    </w:p>
    <w:p>
      <w:pPr>
        <w:ind w:left="0" w:hanging="2"/>
        <w:jc w:val="center"/>
        <w:spacing w:line="360" w:lineRule="auto"/>
      </w:pPr>
      <w:r/>
      <w:r/>
    </w:p>
    <w:p>
      <w:pPr>
        <w:ind w:left="0" w:hanging="2"/>
        <w:jc w:val="center"/>
        <w:spacing w:line="360" w:lineRule="auto"/>
      </w:pPr>
      <w:r/>
      <w:bookmarkStart w:id="0" w:name="_heading=h.30j0zll"/>
      <w:r/>
      <w:bookmarkEnd w:id="0"/>
      <w:r>
        <w:rPr>
          <w:rFonts w:ascii="Arial" w:hAnsi="Arial" w:eastAsia="Arial" w:cs="Arial"/>
          <w:b/>
          <w:sz w:val="24"/>
          <w:szCs w:val="24"/>
        </w:rPr>
        <w:t xml:space="preserve">ANEXO II – DISPOSIÇÕES GERAIS PARA O DESENVOLVIMENTO DOS PROJETOS DE ENSINO APROVADOS</w:t>
      </w:r>
      <w:r/>
    </w:p>
    <w:p>
      <w:pPr>
        <w:numPr>
          <w:ilvl w:val="0"/>
          <w:numId w:val="1"/>
        </w:numPr>
        <w:ind w:left="1" w:hanging="3"/>
        <w:jc w:val="center"/>
        <w:keepLines/>
        <w:keepNext/>
        <w:spacing w:line="360" w:lineRule="auto"/>
        <w:rPr>
          <w:rFonts w:ascii="Cambria" w:hAnsi="Cambria" w:eastAsia="Cambria" w:cs="Cambria"/>
          <w:color w:val="365f91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mbria" w:hAnsi="Cambria" w:eastAsia="Cambria" w:cs="Cambria"/>
          <w:color w:val="365f91"/>
          <w:sz w:val="32"/>
          <w:szCs w:val="32"/>
        </w:rPr>
      </w:r>
      <w:r/>
    </w:p>
    <w:p>
      <w:pPr>
        <w:ind w:left="1" w:hanging="3"/>
        <w:spacing w:line="360" w:lineRule="auto"/>
        <w:rPr>
          <w:rFonts w:ascii="Arial" w:hAnsi="Arial" w:eastAsia="Arial" w:cs="Arial"/>
          <w:color w:val="000000"/>
          <w:sz w:val="34"/>
          <w:szCs w:val="3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34"/>
          <w:szCs w:val="34"/>
        </w:rPr>
      </w:r>
      <w:r/>
    </w:p>
    <w:p>
      <w:pPr>
        <w:numPr>
          <w:ilvl w:val="0"/>
          <w:numId w:val="6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DA FORMALIZAÇÃO DOS PROJETOS DE ENSINO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Após a divulgação do resultado final, os/as coordenadores/as das propostas aprovadas deverão </w:t>
      </w:r>
      <w:r>
        <w:rPr>
          <w:rFonts w:ascii="Arial" w:hAnsi="Arial" w:eastAsia="Arial" w:cs="Arial"/>
          <w:sz w:val="24"/>
          <w:szCs w:val="24"/>
        </w:rPr>
        <w:t xml:space="preserve">anexar ao</w:t>
      </w:r>
      <w:r>
        <w:rPr>
          <w:rFonts w:ascii="Arial" w:hAnsi="Arial" w:eastAsia="Arial" w:cs="Arial"/>
          <w:sz w:val="24"/>
          <w:szCs w:val="24"/>
        </w:rPr>
        <w:t xml:space="preserve"> processo </w:t>
      </w:r>
      <w:r>
        <w:rPr>
          <w:rFonts w:ascii="Arial" w:hAnsi="Arial" w:eastAsia="Arial" w:cs="Arial"/>
          <w:sz w:val="24"/>
          <w:szCs w:val="24"/>
        </w:rPr>
        <w:t xml:space="preserve">encaminhado </w:t>
      </w:r>
      <w:r>
        <w:rPr>
          <w:rFonts w:ascii="Arial" w:hAnsi="Arial" w:eastAsia="Arial" w:cs="Arial"/>
          <w:sz w:val="24"/>
          <w:szCs w:val="24"/>
        </w:rPr>
        <w:t xml:space="preserve">ao Departamento de Áreas Acadêmicas, via SUAP, conforme cronograma com a seguinte documentação: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numPr>
          <w:ilvl w:val="0"/>
          <w:numId w:val="3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Cópia dos Documentos d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os estudantes (Identidade e CPF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)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dados bancários dos estudantes bolsistas;</w:t>
      </w:r>
      <w:r/>
    </w:p>
    <w:p>
      <w:pPr>
        <w:numPr>
          <w:ilvl w:val="0"/>
          <w:numId w:val="3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Termo de compromisso do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estudante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bolsista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 do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estudante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voluntário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devidamente assinado;</w:t>
      </w:r>
      <w:r/>
    </w:p>
    <w:p>
      <w:pPr>
        <w:numPr>
          <w:ilvl w:val="0"/>
          <w:numId w:val="3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Termo de autorização dos responsáveis, em casos de estudantes bolsistas e voluntários, menores de idade, devidamente assinado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 (Anexo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XIII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)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;</w:t>
      </w:r>
      <w:r/>
    </w:p>
    <w:p>
      <w:pPr>
        <w:numPr>
          <w:ilvl w:val="0"/>
          <w:numId w:val="3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Declaração de matrícula dos estudantes bolsistas e voluntários;</w:t>
      </w:r>
      <w:r/>
    </w:p>
    <w:p>
      <w:pPr>
        <w:numPr>
          <w:ilvl w:val="0"/>
          <w:numId w:val="3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Documentação comprobatória dos estudantes bolsistas que ingre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ssaram no IFG por meio das políticas de ações afirmativas (declaração da CORAE, e/ou que comprovem vulnerabilidade socioeconômica, conforme resultado do Edital de assistência homologado pela CAE, ou por meio de outra forma de validação junto a este setor).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numPr>
          <w:ilvl w:val="0"/>
          <w:numId w:val="6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DAS BOLSAS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a) A primeira bolsa deverá ser paga após 30 (trinta dias corridos do início do Projeto de Ensino. O pagamento das bolsas fica à cargo da </w:t>
      </w:r>
      <w:r>
        <w:rPr>
          <w:rFonts w:ascii="Arial" w:hAnsi="Arial" w:eastAsia="Arial" w:cs="Arial"/>
          <w:sz w:val="24"/>
          <w:szCs w:val="24"/>
        </w:rPr>
        <w:t xml:space="preserve">Gerência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de Administração do </w:t>
      </w:r>
      <w:r>
        <w:rPr>
          <w:rFonts w:ascii="Arial" w:hAnsi="Arial" w:eastAsia="Arial" w:cs="Arial"/>
          <w:sz w:val="24"/>
          <w:szCs w:val="24"/>
        </w:rPr>
        <w:t xml:space="preserve">Câmpus Cidade de Goiás.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b) As bolsas serão liberadas somente após o envio da documentação solicitada.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numPr>
          <w:ilvl w:val="0"/>
          <w:numId w:val="6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DO CANCELAMENTO DAS BOLSAS E DESLIGAMENTO DO ESTUDANTE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numPr>
          <w:ilvl w:val="0"/>
          <w:numId w:val="4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 cancelamento da bolsa e desligamento do estudante bolsista poderá ser realizado a qualquer tempo, seja por solicitação do estudante, seja por solicitação da coordenação do Projeto de Ensino.</w:t>
      </w:r>
      <w:r/>
    </w:p>
    <w:p>
      <w:pPr>
        <w:numPr>
          <w:ilvl w:val="0"/>
          <w:numId w:val="4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justificativa e o relatório de atividades do estudante até o momento do seu desligamento deverão ser encaminhados ao Departamento de Áreas Acadêmicas, via SUAP, para ser apensada ao processo do Projeto de Ensino.</w:t>
      </w:r>
      <w:r/>
    </w:p>
    <w:p>
      <w:pPr>
        <w:numPr>
          <w:ilvl w:val="0"/>
          <w:numId w:val="4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Os recursos financeiros provenientes do saldo das bolsas não utilizadas poderão ser alocados para pagamento de bolsas a novos estudantes, desde que mantido o mesmo Plano de Ação e comprovação da documentação necessária conforme previsto no Edital.</w:t>
      </w:r>
      <w:r/>
    </w:p>
    <w:p>
      <w:pPr>
        <w:numPr>
          <w:ilvl w:val="0"/>
          <w:numId w:val="4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 cancelamento da concessão de bolsa poderá ser realizado a qualquer momento pelo Departamento de Áreas Acadêmicas, caso seja constatada alguma irregularidade quanto ao cumprimento das normas deste Edital.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numPr>
          <w:ilvl w:val="0"/>
          <w:numId w:val="6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DAS ATRIBUIÇÕES 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Coordenador/a do Projeto de Ensino: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Executar o Projeto de Ensino conforme os objetivos, metodologia e cronograma previstos na proposta aprovada, de acordo com este Edital e com a Instrução Normativa nº 06 de 26 de dezembro de 2018.</w:t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Encaminhar a documentação solicitada no item 1 deste Anexo.</w:t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Orientar os estudantes bolsistas e voluntários em relação às atividades previstas para o desenvolvimento do Projeto de Ensino.</w:t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Zelar pelo cumprimento do Plano de Ação dos estudantes bolsistas e voluntários.</w:t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Informar ao Departamento de Áreas Acadêmicas sobre a mudança de estudantes bolsistas, caso haja algum desligamento, com até 5 dias úteis após a realização do procedimento.</w:t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Registrar as atividades realizadas do Projeto de Ensino, bem como a frequência dos estudantes participantes, dos estudantes bolsistas e dos estudantes voluntários, mensalmente, para controle do/a coordenador/a, conforme Anexo IX. </w:t>
      </w:r>
      <w:r/>
    </w:p>
    <w:p>
      <w:pPr>
        <w:ind w:left="0" w:firstLine="0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OBS.: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Não é necessário o envio dessa frequência para o Departamento de Áreas Acadêmicas. Ela servirá apenas para controle do/a coordenador/a.</w:t>
      </w:r>
      <w:r/>
    </w:p>
    <w:p>
      <w:pPr>
        <w:numPr>
          <w:ilvl w:val="0"/>
          <w:numId w:val="5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Encaminhar ao Departamento de Áreas Acadêmicas, até 30 dias após a conclusão do Projeto de Ensino, o Re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latório Final e a Frequência Final (Anexo VII e Anexo X, respectivamente) dos estudantes bolsistas e dos estudantes voluntários com as respectivas cargas horárias cumpridas para encerramento do processo no SUAP, e emissão de certificação pelo Departamento.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Colaborador/a do Projeto de Ensino: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1. Participar das atividades previstas no Projeto de Ensino e desenvolver as ações que, de acordo com o plano de ação, forem de sua responsabilidade.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Estudante Bolsista: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1. Cumprir as atividades previstas no plano de ação e participar das atividades de sistematização, estudo e desenvolvimento do Projeto de Ensino.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2. Cumprir 20 horas semanais de atividades (as atividades de estudo e pesquisas não serão computadas para fins de certificação).</w:t>
      </w:r>
      <w:r/>
    </w:p>
    <w:p>
      <w:pPr>
        <w:numPr>
          <w:ilvl w:val="0"/>
          <w:numId w:val="2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Atender às solicitações do/a coordenador/a do Projeto de Ensino.</w:t>
      </w:r>
      <w:r/>
    </w:p>
    <w:p>
      <w:pPr>
        <w:numPr>
          <w:ilvl w:val="0"/>
          <w:numId w:val="2"/>
        </w:num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Participar de eventos internos e externos de apresentação das ações de ensino, de acordo com a demanda institucional.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Estudante Voluntário/a: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1. Cumprir as atividades previstas no plano de ação e participar das atividades de sistematização, estudo e desenvolvimento do Projeto de Ensino.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2. Cumprir 20 horas semanais de atividades (as atividades de estudo e pesquisas não serão computadas para fins de certificação).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3. Atender às solicitações do/a coordenador/a do Projeto de Ensino.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  <w:t xml:space="preserve">4. Participar de eventos internos e externos de apresentação das ações de ensino, de acordo com a demanda institucional.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5. DO ACOMPANHAMENTO, SUPERVISÃO E FINALIZAÇÃO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a) O acompanhamento da realização dos Projetos de Ensino ficará a cargo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do Departamento de Áreas Acadêmicas.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b) O Relatório Final do Projeto de Ensino deverá ser encaminhado ao Conselho Departamental após o encerramento das atividades, respeitando o prazo máximo estabelecido no cronograma constante do item 12.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c) O Projeto de Ensino será considerado concluído somente após parecer favorável do </w:t>
      </w:r>
      <w:r>
        <w:rPr>
          <w:rFonts w:ascii="Arial" w:hAnsi="Arial" w:eastAsia="Arial" w:cs="Arial"/>
          <w:sz w:val="24"/>
          <w:szCs w:val="24"/>
        </w:rPr>
        <w:t xml:space="preserve">Conselho Departamental sobre o Relatório Final.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d) Após a homologação do Relatório Final no Conselho Departamental, o/a coordenador do Projeto de Ensino deverá encaminhar os seguintes documentos, via SUAP ao Departamento: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Relatório Final (Anexo VII).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Frequência Final (Anexo X) do/a coordenador/a, do/a colaborador/a, dos/as estudantes bolsistas e dos/as estudantes voluntários/as.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6.  CERTIFICAÇÃO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a) A certificação dos integrantes (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estudantes bolsistas, estudantes voluntários/as, colaboradores e coordenador/a) será emitida pelo Departamento de Áreas Acadêmicas, considerando-se a carga horária prevista na proposta de Projeto de Ensino aprovada, mínimo de 27 horas e máximo de 54 horas.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Importante: Não será emitida certificação co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m carga horária diferente da prevista neste Edital. O cômputo de carga horária referente às atividades semanais de pesquisa, estudo etc. não terão efeito para certificação. Apenas a Carga Horária efetiva de execução do Projeto que deve ser entre 27h e 54h.</w:t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360" w:lineRule="auto"/>
      </w:pPr>
      <w:r>
        <w:rPr>
          <w:rFonts w:ascii="Arial" w:hAnsi="Arial" w:eastAsia="Arial" w:cs="Arial"/>
          <w:sz w:val="24"/>
          <w:szCs w:val="24"/>
        </w:rPr>
        <w:tab/>
      </w:r>
      <w:r/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hanging="2"/>
        <w:spacing w:line="240" w:lineRule="auto"/>
      </w:pPr>
      <w:r>
        <w:separator/>
      </w:r>
      <w:r/>
    </w:p>
  </w:endnote>
  <w:endnote w:type="continuationSeparator" w:id="0">
    <w:p>
      <w:pPr>
        <w:ind w:left="0" w:hanging="2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hanging="2"/>
        <w:spacing w:line="240" w:lineRule="auto"/>
      </w:pPr>
      <w:r>
        <w:separator/>
      </w:r>
      <w:r/>
    </w:p>
  </w:footnote>
  <w:footnote w:type="continuationSeparator" w:id="0">
    <w:p>
      <w:pPr>
        <w:ind w:left="0" w:hanging="2"/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  <w:spacing w:line="14" w:lineRule="auto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1">
    <w:multiLevelType w:val="hybridMultilevel"/>
    <w:lvl w:ilvl="0">
      <w:start w:val="1"/>
      <w:numFmt w:val="decimal"/>
      <w:pStyle w:val="704"/>
      <w:isLgl w:val="false"/>
      <w:suff w:val="tab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705"/>
      <w:isLgl w:val="false"/>
      <w:suff w:val="tab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8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1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2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0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0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0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0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0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0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0"/>
    <w:link w:val="714"/>
    <w:uiPriority w:val="10"/>
    <w:rPr>
      <w:sz w:val="48"/>
      <w:szCs w:val="48"/>
    </w:rPr>
  </w:style>
  <w:style w:type="character" w:styleId="37">
    <w:name w:val="Subtitle Char"/>
    <w:basedOn w:val="710"/>
    <w:link w:val="75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0"/>
    <w:link w:val="752"/>
    <w:uiPriority w:val="99"/>
  </w:style>
  <w:style w:type="character" w:styleId="45">
    <w:name w:val="Footer Char"/>
    <w:basedOn w:val="710"/>
    <w:link w:val="753"/>
    <w:uiPriority w:val="99"/>
  </w:style>
  <w:style w:type="paragraph" w:styleId="46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3"/>
    <w:uiPriority w:val="99"/>
  </w:style>
  <w:style w:type="table" w:styleId="48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54"/>
    <w:uiPriority w:val="99"/>
    <w:rPr>
      <w:sz w:val="18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0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704">
    <w:name w:val="Heading 1"/>
    <w:basedOn w:val="703"/>
    <w:next w:val="743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705">
    <w:name w:val="Heading 2"/>
    <w:basedOn w:val="703"/>
    <w:next w:val="743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706">
    <w:name w:val="Heading 3"/>
    <w:basedOn w:val="703"/>
    <w:next w:val="70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7">
    <w:name w:val="Heading 4"/>
    <w:basedOn w:val="703"/>
    <w:next w:val="70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08">
    <w:name w:val="Heading 5"/>
    <w:basedOn w:val="703"/>
    <w:next w:val="70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09">
    <w:name w:val="Heading 6"/>
    <w:basedOn w:val="703"/>
    <w:next w:val="70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table" w:styleId="71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4">
    <w:name w:val="Title"/>
    <w:basedOn w:val="703"/>
    <w:next w:val="70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1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16" w:customStyle="1">
    <w:name w:val="Texto de balão Char"/>
    <w:basedOn w:val="710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717" w:customStyle="1">
    <w:name w:val="Cabeçalho Char"/>
    <w:basedOn w:val="71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18" w:customStyle="1">
    <w:name w:val="Rodapé Char"/>
    <w:basedOn w:val="71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19" w:customStyle="1">
    <w:name w:val="Texto de nota de rodapé Char"/>
    <w:basedOn w:val="710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720">
    <w:name w:val="footnote reference"/>
    <w:basedOn w:val="710"/>
    <w:rPr>
      <w:position w:val="-1"/>
      <w:vertAlign w:val="superscript"/>
      <w:cs w:val="0"/>
    </w:rPr>
  </w:style>
  <w:style w:type="character" w:styleId="721" w:customStyle="1">
    <w:name w:val="Título 2 Char"/>
    <w:basedOn w:val="710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722" w:customStyle="1">
    <w:name w:val="Título 1 Char"/>
    <w:basedOn w:val="710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723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24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725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726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27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728" w:customStyle="1">
    <w:name w:val="ListLabel 6"/>
    <w:rPr>
      <w:position w:val="-1"/>
      <w:vertAlign w:val="baseline"/>
      <w:cs w:val="0"/>
    </w:rPr>
  </w:style>
  <w:style w:type="character" w:styleId="729" w:customStyle="1">
    <w:name w:val="ListLabel 7"/>
    <w:rPr>
      <w:position w:val="-1"/>
      <w:vertAlign w:val="baseline"/>
      <w:cs w:val="0"/>
    </w:rPr>
  </w:style>
  <w:style w:type="character" w:styleId="730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731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732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33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34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35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736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37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738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739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740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741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742" w:customStyle="1">
    <w:name w:val="Título1"/>
    <w:basedOn w:val="703"/>
    <w:next w:val="743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43">
    <w:name w:val="Body Text"/>
    <w:basedOn w:val="703"/>
  </w:style>
  <w:style w:type="paragraph" w:styleId="744">
    <w:name w:val="List"/>
    <w:basedOn w:val="743"/>
  </w:style>
  <w:style w:type="paragraph" w:styleId="745" w:customStyle="1">
    <w:name w:val="Legenda1"/>
    <w:basedOn w:val="703"/>
    <w:pPr>
      <w:spacing w:before="120" w:after="120"/>
      <w:suppressLineNumbers/>
    </w:pPr>
    <w:rPr>
      <w:i/>
      <w:iCs/>
      <w:sz w:val="24"/>
      <w:szCs w:val="24"/>
    </w:rPr>
  </w:style>
  <w:style w:type="paragraph" w:styleId="746" w:customStyle="1">
    <w:name w:val="Índice"/>
    <w:basedOn w:val="703"/>
    <w:pPr>
      <w:suppressLineNumbers/>
    </w:pPr>
  </w:style>
  <w:style w:type="paragraph" w:styleId="747" w:customStyle="1">
    <w:name w:val="Título 11"/>
    <w:basedOn w:val="703"/>
    <w:pPr>
      <w:ind w:left="683" w:firstLine="0"/>
      <w:spacing w:before="90"/>
    </w:pPr>
    <w:rPr>
      <w:b/>
      <w:bCs/>
      <w:sz w:val="24"/>
      <w:szCs w:val="24"/>
    </w:rPr>
  </w:style>
  <w:style w:type="paragraph" w:styleId="748" w:customStyle="1">
    <w:name w:val="Título 21"/>
    <w:basedOn w:val="703"/>
    <w:pPr>
      <w:ind w:left="711" w:firstLine="0"/>
    </w:pPr>
    <w:rPr>
      <w:b/>
      <w:bCs/>
    </w:rPr>
  </w:style>
  <w:style w:type="paragraph" w:styleId="749">
    <w:name w:val="List Paragraph"/>
    <w:basedOn w:val="703"/>
    <w:pPr>
      <w:ind w:left="712" w:firstLine="708"/>
      <w:jc w:val="both"/>
    </w:pPr>
  </w:style>
  <w:style w:type="paragraph" w:styleId="750" w:customStyle="1">
    <w:name w:val="Table Paragraph"/>
    <w:basedOn w:val="703"/>
  </w:style>
  <w:style w:type="paragraph" w:styleId="751">
    <w:name w:val="Balloon Text"/>
    <w:basedOn w:val="703"/>
    <w:rPr>
      <w:rFonts w:ascii="Tahoma" w:hAnsi="Tahoma" w:cs="Tahoma"/>
      <w:sz w:val="16"/>
      <w:szCs w:val="16"/>
    </w:rPr>
  </w:style>
  <w:style w:type="paragraph" w:styleId="752">
    <w:name w:val="Header"/>
    <w:basedOn w:val="703"/>
    <w:pPr>
      <w:tabs>
        <w:tab w:val="center" w:pos="4252" w:leader="none"/>
        <w:tab w:val="right" w:pos="8504" w:leader="none"/>
      </w:tabs>
      <w:suppressLineNumbers/>
    </w:pPr>
  </w:style>
  <w:style w:type="paragraph" w:styleId="753">
    <w:name w:val="Footer"/>
    <w:basedOn w:val="703"/>
    <w:pPr>
      <w:tabs>
        <w:tab w:val="center" w:pos="4252" w:leader="none"/>
        <w:tab w:val="right" w:pos="8504" w:leader="none"/>
      </w:tabs>
      <w:suppressLineNumbers/>
    </w:pPr>
  </w:style>
  <w:style w:type="paragraph" w:styleId="754">
    <w:name w:val="footnote text"/>
    <w:basedOn w:val="703"/>
    <w:rPr>
      <w:sz w:val="20"/>
      <w:szCs w:val="20"/>
    </w:rPr>
  </w:style>
  <w:style w:type="paragraph" w:styleId="755">
    <w:name w:val="Normal (Web)"/>
    <w:basedOn w:val="703"/>
    <w:pPr>
      <w:spacing w:before="100" w:after="28"/>
    </w:pPr>
    <w:rPr>
      <w:sz w:val="24"/>
      <w:szCs w:val="24"/>
      <w:lang w:val="pt-BR" w:eastAsia="ar-SA" w:bidi="ar-SA"/>
    </w:rPr>
  </w:style>
  <w:style w:type="paragraph" w:styleId="756">
    <w:name w:val="Subtitle"/>
    <w:basedOn w:val="703"/>
    <w:next w:val="70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57" w:customStyle="1">
    <w:name w:val="StGen0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8" w:customStyle="1">
    <w:name w:val="StGen1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9" w:customStyle="1">
    <w:name w:val="StGen2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0" w:customStyle="1">
    <w:name w:val="StGen3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1" w:customStyle="1">
    <w:name w:val="StGen4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2" w:customStyle="1">
    <w:name w:val="StGen5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3" w:customStyle="1">
    <w:name w:val="StGen6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4" w:customStyle="1">
    <w:name w:val="StGen7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5" w:customStyle="1">
    <w:name w:val="StGen8"/>
    <w:basedOn w:val="71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66" w:customStyle="1">
    <w:name w:val="StGen9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67" w:customStyle="1">
    <w:name w:val="StGen10"/>
    <w:basedOn w:val="71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768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GdwbfVKmAQ6isoyPasbGmjlsw==">CgMxLjAyCWguMzBqMHpsbDgAciExd2xnVEpqYzBMZ0xaYm14YmxLZ01PRGhoel9LNnkwTVg=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5</cp:revision>
  <dcterms:created xsi:type="dcterms:W3CDTF">2024-09-15T14:12:00Z</dcterms:created>
  <dcterms:modified xsi:type="dcterms:W3CDTF">2025-09-12T14:57:19Z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