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64" w:before="0" w:after="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1"/>
        <w:spacing w:lineRule="auto" w:line="264" w:before="0" w:after="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EDITAL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02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/202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2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/PROEX/IFG</w:t>
      </w:r>
    </w:p>
    <w:p>
      <w:pPr>
        <w:pStyle w:val="Normal1"/>
        <w:spacing w:lineRule="auto" w:line="264" w:before="0" w:after="0"/>
        <w:ind w:left="0"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TABELA DE AVALIAÇÃO DA AÇÃO DE EXTENSÃO </w:t>
      </w:r>
    </w:p>
    <w:p>
      <w:pPr>
        <w:pStyle w:val="Normal1"/>
        <w:keepNext w:val="true"/>
        <w:pBdr/>
        <w:spacing w:lineRule="auto" w:line="264" w:before="0" w:after="0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9"/>
          <w:sz w:val="16"/>
          <w:szCs w:val="16"/>
        </w:rPr>
      </w:pPr>
      <w:r>
        <w:rPr>
          <w:rFonts w:eastAsia="Times New Roman" w:cs="Times New Roman" w:ascii="Times New Roman" w:hAnsi="Times New Roman"/>
          <w:b/>
          <w:color w:val="000009"/>
          <w:sz w:val="16"/>
          <w:szCs w:val="16"/>
        </w:rPr>
      </w:r>
    </w:p>
    <w:tbl>
      <w:tblPr>
        <w:tblStyle w:val="Table1"/>
        <w:tblW w:w="836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35"/>
        <w:gridCol w:w="4321"/>
        <w:gridCol w:w="1139"/>
        <w:gridCol w:w="1403"/>
        <w:gridCol w:w="770"/>
      </w:tblGrid>
      <w:tr>
        <w:trPr>
          <w:trHeight w:val="245" w:hRule="atLeast"/>
        </w:trPr>
        <w:tc>
          <w:tcPr>
            <w:tcW w:w="8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TABELA DE PONTOS - AVALIAÇÃO DO MÉRITO DA AÇÃO DE EXTENSÃO</w:t>
            </w:r>
          </w:p>
        </w:tc>
      </w:tr>
      <w:tr>
        <w:trPr>
          <w:trHeight w:val="245" w:hRule="atLeast"/>
        </w:trPr>
        <w:tc>
          <w:tcPr>
            <w:tcW w:w="8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FFFFFF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FFFFFF"/>
                <w:sz w:val="16"/>
                <w:szCs w:val="16"/>
              </w:rPr>
            </w:r>
          </w:p>
        </w:tc>
      </w:tr>
      <w:tr>
        <w:trPr>
          <w:trHeight w:val="263" w:hRule="atLeast"/>
        </w:trPr>
        <w:tc>
          <w:tcPr>
            <w:tcW w:w="8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ITENS OBRIGATÓRIOS</w:t>
            </w:r>
          </w:p>
        </w:tc>
      </w:tr>
      <w:tr>
        <w:trPr>
          <w:trHeight w:val="297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pBdr/>
              <w:spacing w:lineRule="auto" w:line="240" w:before="0" w:after="0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Atendimento às diretrizes da extensão, conforme Resolução 24/2019/CONSUP/IFG</w:t>
            </w:r>
          </w:p>
        </w:tc>
        <w:tc>
          <w:tcPr>
            <w:tcW w:w="33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A apresentação dos documentos comprobatórios é de caráter obrigatório. A ausência destes poderá ocasionar a desclassificação da proposta, conforme item 9 do Edital 02/2022/PROEX/IFG.</w:t>
            </w:r>
          </w:p>
        </w:tc>
      </w:tr>
      <w:tr>
        <w:trPr>
          <w:trHeight w:val="13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0" w:hanging="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Caracterização do público-alvo, com 80% das vagas destinadas à comunidade externa.</w:t>
            </w:r>
          </w:p>
        </w:tc>
        <w:tc>
          <w:tcPr>
            <w:tcW w:w="331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1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Apresentação do Termo de Compromisso e Responsabilidade assinado.</w:t>
            </w:r>
          </w:p>
        </w:tc>
        <w:tc>
          <w:tcPr>
            <w:tcW w:w="331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51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0" w:hanging="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Declaração de Anuência e Apoio para desenvolvimento de Ação de Extensão no Câmpus/Reitoria, devidamente assinada.</w:t>
            </w:r>
          </w:p>
        </w:tc>
        <w:tc>
          <w:tcPr>
            <w:tcW w:w="331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63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0" w:hanging="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Declaração de Anuência e Apoio para desenvolvimento de Ação de Extensão da associação, empresa ou entidade parceira. </w:t>
            </w: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(se for o caso)</w:t>
            </w:r>
          </w:p>
        </w:tc>
        <w:tc>
          <w:tcPr>
            <w:tcW w:w="331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09" w:hRule="atLeast"/>
        </w:trPr>
        <w:tc>
          <w:tcPr>
            <w:tcW w:w="8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pBdr/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17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0" w:hanging="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Cronograma deverá prever período de 18 a 24 meses para execução das atividades</w:t>
            </w:r>
          </w:p>
        </w:tc>
        <w:tc>
          <w:tcPr>
            <w:tcW w:w="33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pBdr/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bookmarkStart w:id="0" w:name="_heading=h.gjdgxs"/>
            <w:bookmarkEnd w:id="0"/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Orientações obrigatórias exclusivamente para PROGRAMA  - FAIXA 3</w:t>
            </w:r>
          </w:p>
        </w:tc>
      </w:tr>
      <w:tr>
        <w:trPr>
          <w:trHeight w:val="417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0" w:hanging="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Equipe deve possuir, no mínimo, 3 servidores vinculados.</w:t>
            </w:r>
          </w:p>
        </w:tc>
        <w:tc>
          <w:tcPr>
            <w:tcW w:w="331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417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0" w:hanging="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Proposta deverá articular, no mínimo, duas modalidades de ação de extensão (projeto, curso e/ou evento)</w:t>
            </w:r>
          </w:p>
        </w:tc>
        <w:tc>
          <w:tcPr>
            <w:tcW w:w="331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38" w:hRule="atLeast"/>
        </w:trPr>
        <w:tc>
          <w:tcPr>
            <w:tcW w:w="5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AVALIAÇÃO DA AÇÃO DE EXTENSÃO - QUESITOS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Pontuação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Nota</w:t>
            </w:r>
          </w:p>
        </w:tc>
      </w:tr>
      <w:tr>
        <w:trPr>
          <w:trHeight w:val="53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Caracterização</w:t>
            </w:r>
            <w:r>
              <w:rPr>
                <w:rFonts w:eastAsia="Times New Roman" w:cs="Times New Roman"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da proposta em relação ao item 3.2, que trata dos temas da extensão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Min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Max</w:t>
            </w:r>
          </w:p>
        </w:tc>
        <w:tc>
          <w:tcPr>
            <w:tcW w:w="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9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Nenhuma relação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7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Pouca relação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4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Média relação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0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Boa relação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5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Alta relação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6"/>
                <w:szCs w:val="16"/>
              </w:rPr>
              <w:t>Pontuação máxima no item 9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  <w:t xml:space="preserve">10 pontos </w:t>
            </w:r>
          </w:p>
        </w:tc>
      </w:tr>
      <w:tr>
        <w:trPr>
          <w:trHeight w:val="27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pBdr/>
              <w:spacing w:lineRule="auto" w:line="264" w:before="0" w:after="0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Propostas que contemplem os públicos beneficiários definidos no item 3.3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Min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Max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Nota</w:t>
            </w:r>
          </w:p>
        </w:tc>
      </w:tr>
      <w:tr>
        <w:trPr>
          <w:trHeight w:val="27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pBdr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Proposta contempla item 3.3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7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pBdr/>
              <w:spacing w:lineRule="auto" w:line="264" w:before="0" w:after="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6"/>
                <w:szCs w:val="16"/>
              </w:rPr>
              <w:t>Pontuação máxima no item 10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  <w:t>10 pontos</w:t>
            </w:r>
          </w:p>
        </w:tc>
      </w:tr>
      <w:tr>
        <w:trPr>
          <w:trHeight w:val="27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pBdr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Das diretrizes da extensão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Min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Máx.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Nota</w:t>
            </w:r>
          </w:p>
        </w:tc>
      </w:tr>
      <w:tr>
        <w:trPr>
          <w:trHeight w:val="296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Relação com atividade de ensino e/ou pesquisa (Indissociabilidade)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7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Interdisciplinaridade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4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Impacto na formação do estudante.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4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Impacto social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4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Relação dialógica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9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6"/>
                <w:szCs w:val="16"/>
              </w:rPr>
              <w:t>Pontuação máxima no item 11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  <w:t>30 pontos</w:t>
            </w:r>
          </w:p>
        </w:tc>
      </w:tr>
      <w:tr>
        <w:trPr>
          <w:trHeight w:val="37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Das finalidades e princípios da extensão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Min.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Máx.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Nota</w:t>
            </w:r>
          </w:p>
        </w:tc>
      </w:tr>
      <w:tr>
        <w:trPr>
          <w:trHeight w:val="24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Contribuição nas políticas públicas para o desenvolvimento regional e nacional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24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Proposta possui colaborador(es) externo(s) vinculado(s) à equipe executora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24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Proposta possui egresso vinculado à equipe executora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24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Participação de estudante com bolsa de extensão em situação de vulnerabilidade (a)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24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Vinculação com o Projeto Político-Pedagógico Institucional (PPPI).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24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Vinculação com o Plano de Desenvolvimento Institucional (PDI)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4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righ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6"/>
                <w:szCs w:val="16"/>
              </w:rPr>
              <w:t>Pontuação máxima no item 12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  <w:t>19 pontos</w:t>
            </w:r>
          </w:p>
        </w:tc>
      </w:tr>
    </w:tbl>
    <w:p>
      <w:pPr>
        <w:pStyle w:val="Normal1"/>
        <w:widowControl w:val="false"/>
        <w:pBdr/>
        <w:spacing w:lineRule="auto" w:line="240" w:before="0" w:after="0"/>
        <w:ind w:left="0" w:hanging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tbl>
      <w:tblPr>
        <w:tblStyle w:val="Table2"/>
        <w:tblW w:w="836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35"/>
        <w:gridCol w:w="4321"/>
        <w:gridCol w:w="1139"/>
        <w:gridCol w:w="1403"/>
        <w:gridCol w:w="770"/>
      </w:tblGrid>
      <w:tr>
        <w:trPr>
          <w:trHeight w:val="24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Da estruturação da proposta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Min.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Máx.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Nota</w:t>
            </w:r>
          </w:p>
        </w:tc>
      </w:tr>
      <w:tr>
        <w:trPr>
          <w:trHeight w:val="24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Coerência entre objetivos e atividades propostas e procedimentos metodológicos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27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Coerência dos objetivos em relação ao perfil do público-alvo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27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Clareza e tangibilidade dos objetivos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27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Clareza e fundamentação da metodologia proposta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42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Avaliação e acompanhamento das atividades expressos no planejamento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276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6"/>
                <w:szCs w:val="16"/>
              </w:rPr>
              <w:t>Pontuação máxima no item 13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  <w:t>20 pontos</w:t>
            </w:r>
          </w:p>
        </w:tc>
      </w:tr>
      <w:tr>
        <w:trPr>
          <w:trHeight w:val="265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Geração de publicações e/ou produtos de extensão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Min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Máx.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Nota</w:t>
            </w:r>
          </w:p>
        </w:tc>
      </w:tr>
      <w:tr>
        <w:trPr>
          <w:trHeight w:val="61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bookmarkStart w:id="1" w:name="_heading=h.30j0zll"/>
            <w:bookmarkEnd w:id="1"/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Não prevê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22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Prevê geração de publicações ou produtos de extensão.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1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Prevê geração de publicações e produtos de extensão.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169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6"/>
                <w:szCs w:val="16"/>
              </w:rPr>
              <w:t>Pontuação máxima no item 14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6"/>
                <w:szCs w:val="16"/>
              </w:rPr>
              <w:t>04 pontos</w:t>
            </w:r>
          </w:p>
        </w:tc>
      </w:tr>
      <w:tr>
        <w:trPr>
          <w:trHeight w:val="24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numPr>
                <w:ilvl w:val="0"/>
                <w:numId w:val="1"/>
              </w:numPr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pBdr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9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6"/>
                <w:szCs w:val="16"/>
              </w:rPr>
              <w:t>Parceiros externos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Min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Máx.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Nota</w:t>
            </w:r>
          </w:p>
        </w:tc>
      </w:tr>
      <w:tr>
        <w:trPr>
          <w:trHeight w:val="134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Não apresenta parceiros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08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Apresenta 1 parceiro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140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Apresenta 2 ou mais parceiros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3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16"/>
                <w:szCs w:val="16"/>
              </w:rPr>
              <w:t>Pontuação máxima no item 15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</w:rPr>
              <w:t>07 pontos</w:t>
            </w:r>
          </w:p>
        </w:tc>
      </w:tr>
      <w:tr>
        <w:trPr>
          <w:trHeight w:val="538" w:hRule="atLeast"/>
        </w:trPr>
        <w:tc>
          <w:tcPr>
            <w:tcW w:w="6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TOTAL MÁXIMO DE PONTOS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264" w:before="0" w:after="0"/>
              <w:ind w:left="0" w:hanging="2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100 pontos</w:t>
            </w:r>
          </w:p>
        </w:tc>
      </w:tr>
    </w:tbl>
    <w:p>
      <w:pPr>
        <w:pStyle w:val="Normal1"/>
        <w:spacing w:lineRule="auto" w:line="264" w:before="0" w:after="0"/>
        <w:ind w:left="0"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64" w:before="0" w:after="0"/>
        <w:ind w:left="0" w:hanging="2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64" w:before="0" w:after="0"/>
        <w:ind w:left="-2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709" w:top="1702" w:footer="210" w:bottom="1418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Mangal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Pró-Reitoria de Extensão do Instituto Federal de Educação, Ciência e Tecnologia de Goiás</w:t>
    </w:r>
  </w:p>
  <w:p>
    <w:pPr>
      <w:pStyle w:val="Normal1"/>
      <w:spacing w:lineRule="auto" w:line="240" w:before="0" w:after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Avenida Assis Chateaubriand, nº 1658, Setor Oeste. CEP: 74.130-012. Goiânia-GO</w:t>
    </w:r>
  </w:p>
  <w:p>
    <w:pPr>
      <w:pStyle w:val="Normal1"/>
      <w:spacing w:lineRule="auto" w:line="240" w:before="0" w:after="0"/>
      <w:ind w:left="0" w:hanging="2"/>
      <w:jc w:val="center"/>
      <w:rPr>
        <w:sz w:val="16"/>
        <w:szCs w:val="16"/>
      </w:rPr>
    </w:pPr>
    <w:r>
      <w:rPr>
        <w:sz w:val="16"/>
        <w:szCs w:val="16"/>
      </w:rPr>
      <w:t>Fone: (62) 3612.2215 E-mail: proex@ifg.edu.br</w:t>
    </w:r>
  </w:p>
  <w:p>
    <w:pPr>
      <w:pStyle w:val="Normal1"/>
      <w:pBdr/>
      <w:spacing w:lineRule="auto" w:line="240" w:before="0" w:after="0"/>
      <w:ind w:left="0" w:hanging="2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Bdr/>
      <w:spacing w:lineRule="auto" w:line="240" w:before="0" w:after="0"/>
      <w:ind w:left="0" w:hanging="2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2032000</wp:posOffset>
              </wp:positionH>
              <wp:positionV relativeFrom="paragraph">
                <wp:posOffset>-88900</wp:posOffset>
              </wp:positionV>
              <wp:extent cx="3735705" cy="87439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35000" cy="873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2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fillcolor="white" stroked="f" style="position:absolute;margin-left:160pt;margin-top:-7pt;width:294.05pt;height:68.75pt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2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-171450</wp:posOffset>
          </wp:positionH>
          <wp:positionV relativeFrom="paragraph">
            <wp:posOffset>-94615</wp:posOffset>
          </wp:positionV>
          <wp:extent cx="2057400" cy="694055"/>
          <wp:effectExtent l="0" t="0" r="0" b="0"/>
          <wp:wrapSquare wrapText="bothSides"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  <w:position w:val="0"/>
        <w:sz w:val="16"/>
        <w:sz w:val="16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  <w:position w:val="0"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  <w:position w:val="0"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  <w:position w:val="0"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  <w:position w:val="0"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  <w:position w:val="0"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  <w:position w:val="0"/>
        <w:sz w:val="22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ind w:left="-1" w:hanging="1"/>
      <w:jc w:val="left"/>
      <w:textAlignment w:val="top"/>
      <w:outlineLvl w:val="0"/>
    </w:pPr>
    <w:rPr>
      <w:rFonts w:ascii="Calibri" w:hAnsi="Calibri" w:eastAsia="Calibri" w:cs="Calibri"/>
      <w:color w:val="auto"/>
      <w:kern w:val="0"/>
      <w:sz w:val="22"/>
      <w:szCs w:val="22"/>
      <w:lang w:eastAsia="en-US" w:val="pt-BR" w:bidi="hi-IN"/>
    </w:rPr>
  </w:style>
  <w:style w:type="paragraph" w:styleId="Ttulo1">
    <w:name w:val="Heading 1"/>
    <w:basedOn w:val="Normal1"/>
    <w:next w:val="Normal1"/>
    <w:uiPriority w:val="9"/>
    <w:qFormat/>
    <w:pPr>
      <w:keepNext w:val="true"/>
      <w:spacing w:before="240" w:after="6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spacing w:before="240" w:after="60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RodapChar" w:customStyle="1">
    <w:name w:val="Rodapé Char"/>
    <w:basedOn w:val="DefaultParagraphFont"/>
    <w:qFormat/>
    <w:rPr>
      <w:w w:val="100"/>
      <w:position w:val="0"/>
      <w:sz w:val="22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tulo1Char" w:customStyle="1">
    <w:name w:val="Título 1 Char"/>
    <w:qFormat/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eastAsia="en-US"/>
    </w:rPr>
  </w:style>
  <w:style w:type="character" w:styleId="LinkdaInternet">
    <w:name w:val="Link da Internet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styleId="CorpodetextoChar" w:customStyle="1">
    <w:name w:val="Corpo de texto Char"/>
    <w:qFormat/>
    <w:rPr>
      <w:rFonts w:ascii="Arial" w:hAnsi="Arial" w:eastAsia="Arial" w:cs="Arial"/>
      <w:w w:val="100"/>
      <w:position w:val="0"/>
      <w:sz w:val="22"/>
      <w:sz w:val="22"/>
      <w:szCs w:val="22"/>
      <w:effect w:val="none"/>
      <w:vertAlign w:val="baseline"/>
      <w:em w:val="none"/>
      <w:lang w:val="en-US"/>
    </w:rPr>
  </w:style>
  <w:style w:type="character" w:styleId="Ttulo2Char" w:customStyle="1">
    <w:name w:val="Título 2 Char"/>
    <w:qFormat/>
    <w:rPr>
      <w:rFonts w:ascii="Cambria" w:hAnsi="Cambria" w:eastAsia="Times New Roman" w:cs="Times New Roman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eastAsia="en-US"/>
    </w:rPr>
  </w:style>
  <w:style w:type="character" w:styleId="Ttulo3Char" w:customStyle="1">
    <w:name w:val="Título 3 Char"/>
    <w:qFormat/>
    <w:rPr>
      <w:rFonts w:ascii="Cambria" w:hAnsi="Cambria" w:eastAsia="Times New Roman" w:cs="Times New Roman"/>
      <w:b/>
      <w:bCs/>
      <w:w w:val="100"/>
      <w:position w:val="0"/>
      <w:sz w:val="26"/>
      <w:sz w:val="26"/>
      <w:szCs w:val="26"/>
      <w:effect w:val="none"/>
      <w:vertAlign w:val="baseline"/>
      <w:em w:val="none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pPr>
      <w:widowControl w:val="false"/>
      <w:spacing w:lineRule="auto" w:line="240" w:before="0" w:after="0"/>
    </w:pPr>
    <w:rPr>
      <w:rFonts w:ascii="Arial" w:hAnsi="Arial" w:eastAsia="Arial" w:cs="Arial"/>
      <w:lang w:val="en-U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ind w:hanging="1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qFormat/>
    <w:pPr>
      <w:spacing w:lineRule="auto" w:line="240" w:before="0" w:after="0"/>
    </w:pPr>
    <w:rPr/>
  </w:style>
  <w:style w:type="paragraph" w:styleId="Rodap">
    <w:name w:val="Footer"/>
    <w:basedOn w:val="Normal1"/>
    <w:qFormat/>
    <w:pPr>
      <w:spacing w:lineRule="auto" w:line="240" w:before="0" w:after="0"/>
    </w:pPr>
    <w:rPr/>
  </w:style>
  <w:style w:type="paragraph" w:styleId="BalloonText">
    <w:name w:val="Balloon Text"/>
    <w:basedOn w:val="Normal1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qFormat/>
    <w:pPr/>
    <w:rPr>
      <w:rFonts w:ascii="Times New Roman" w:hAnsi="Times New Roman" w:cs="Times New Roman"/>
      <w:sz w:val="24"/>
      <w:szCs w:val="24"/>
    </w:rPr>
  </w:style>
  <w:style w:type="paragraph" w:styleId="ListaColoridanfase11" w:customStyle="1">
    <w:name w:val="Lista Colorida - Ênfase 11"/>
    <w:basedOn w:val="Normal1"/>
    <w:qFormat/>
    <w:pPr>
      <w:spacing w:before="0" w:after="200"/>
      <w:ind w:left="720" w:hanging="1"/>
      <w:contextualSpacing/>
    </w:pPr>
    <w:rPr/>
  </w:style>
  <w:style w:type="paragraph" w:styleId="Logo" w:customStyle="1">
    <w:name w:val="logo"/>
    <w:basedOn w:val="Normal1"/>
    <w:qFormat/>
    <w:pPr>
      <w:suppressAutoHyphens w:val="fals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Padro" w:customStyle="1">
    <w:name w:val="Padrão"/>
    <w:qFormat/>
    <w:pPr>
      <w:widowControl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</w:tabs>
      <w:suppressAutoHyphens w:val="true"/>
      <w:bidi w:val="0"/>
      <w:spacing w:lineRule="atLeast" w:line="1" w:before="0" w:after="200"/>
      <w:ind w:left="-1" w:hanging="1"/>
      <w:jc w:val="left"/>
      <w:textAlignment w:val="top"/>
      <w:outlineLvl w:val="0"/>
    </w:pPr>
    <w:rPr>
      <w:rFonts w:ascii="Mangal" w:hAnsi="Mangal" w:eastAsia="Microsoft YaHei" w:cs="Mangal"/>
      <w:color w:val="000000"/>
      <w:kern w:val="0"/>
      <w:sz w:val="36"/>
      <w:szCs w:val="36"/>
      <w:lang w:val="pt-BR" w:eastAsia="zh-CN" w:bidi="hi-IN"/>
    </w:rPr>
  </w:style>
  <w:style w:type="paragraph" w:styleId="TableParagraph" w:customStyle="1">
    <w:name w:val="Table Paragraph"/>
    <w:basedOn w:val="Normal1"/>
    <w:qFormat/>
    <w:pPr>
      <w:widowControl w:val="false"/>
      <w:spacing w:lineRule="auto" w:line="240" w:before="0" w:after="0"/>
    </w:pPr>
    <w:rPr>
      <w:lang w:val="en-US"/>
    </w:rPr>
  </w:style>
  <w:style w:type="paragraph" w:styleId="ListParagraph">
    <w:name w:val="List Paragraph"/>
    <w:basedOn w:val="Normal1"/>
    <w:qFormat/>
    <w:pPr>
      <w:suppressAutoHyphens w:val="false"/>
      <w:spacing w:lineRule="auto" w:line="240" w:before="0" w:after="0"/>
      <w:ind w:left="720" w:hanging="1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paragraph" w:styleId="Contedodatabela" w:customStyle="1">
    <w:name w:val="Conteúdo da tabela"/>
    <w:basedOn w:val="Normal1"/>
    <w:qFormat/>
    <w:pPr>
      <w:suppressLineNumbers/>
      <w:suppressAutoHyphens w:val="false"/>
      <w:spacing w:lineRule="auto" w:line="240" w:before="0" w:after="0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paragraph" w:styleId="Standard" w:customStyle="1">
    <w:name w:val="Standard"/>
    <w:qFormat/>
    <w:pPr>
      <w:widowControl w:val="false"/>
      <w:bidi w:val="0"/>
      <w:spacing w:lineRule="atLeast" w:line="1" w:before="0" w:after="200"/>
      <w:ind w:left="-1" w:hanging="1"/>
      <w:jc w:val="left"/>
      <w:textAlignment w:val="baseline"/>
      <w:outlineLvl w:val="0"/>
    </w:pPr>
    <w:rPr>
      <w:rFonts w:ascii="Calibri" w:hAnsi="Calibri" w:eastAsia="Calibri" w:cs="Calibri"/>
      <w:color w:val="000000"/>
      <w:kern w:val="2"/>
      <w:sz w:val="24"/>
      <w:szCs w:val="24"/>
      <w:lang w:val="en-US" w:eastAsia="zh-CN" w:bidi="en-US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"/>
    <w:qFormat/>
    <w:pPr>
      <w:spacing w:line="1" w:lineRule="atLeast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kRRS2A01y85Zxb8vtVIZMP03dXg==">AMUW2mX/XQGTtCIX/7F9nPV4NLhz8KaYSxVDjE5SqL1y5bIlS5iizbPNCEvueDutnWP9xE+KeLyeMuHdy7OidriNc88YX2ZWYaKJz2EojJJx4Ugs7NvMs8Ay3y2Z82N+IthsXDmTauDi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4</Pages>
  <Words>533</Words>
  <Characters>2875</Characters>
  <CharactersWithSpaces>3249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2020-03-11T16:22:00Z</dcterms:created>
  <dc:creator>Ilza de Carvalho Santos</dc:creator>
  <dc:description/>
  <dc:language>pt-BR</dc:language>
  <cp:lastModifiedBy/>
  <cp:revision>0</cp:revision>
  <dc:subject/>
  <dc:title/>
</cp:coreProperties>
</file>