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ORIENTAÇÕES GERAIS</w:t>
      </w:r>
    </w:p>
    <w:p w:rsidR="00000000" w:rsidDel="00000000" w:rsidP="00000000" w:rsidRDefault="00000000" w:rsidRPr="00000000" w14:paraId="00000002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Fazer cadastro na plataforma FINEP: </w:t>
      </w:r>
      <w:hyperlink r:id="rId7">
        <w:r w:rsidDel="00000000" w:rsidR="00000000" w:rsidRPr="00000000">
          <w:rPr>
            <w:b w:val="0"/>
            <w:bCs w:val="0"/>
            <w:color w:val="0000ff"/>
            <w:u w:val="single"/>
            <w:rtl w:val="0"/>
          </w:rPr>
          <w:t xml:space="preserve">https://cadastro.finep.gov.br/cadastro/</w:t>
        </w:r>
      </w:hyperlink>
      <w:r w:rsidDel="00000000" w:rsidR="00000000" w:rsidRPr="00000000">
        <w:rPr>
          <w:b w:val="0"/>
          <w:bCs w:val="0"/>
          <w:rtl w:val="0"/>
        </w:rPr>
        <w:t xml:space="preserve"> e solicitar vinculo com o IFG de pesquisador.</w:t>
      </w:r>
    </w:p>
    <w:p w:rsidR="00000000" w:rsidDel="00000000" w:rsidP="00000000" w:rsidRDefault="00000000" w:rsidRPr="00000000" w14:paraId="00000003">
      <w:pPr>
        <w:ind w:left="3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Esse formulário deverá ser inserido no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Google Forms</w:t>
      </w:r>
      <w:r w:rsidDel="00000000" w:rsidR="00000000" w:rsidRPr="00000000">
        <w:rPr>
          <w:b w:val="0"/>
          <w:bCs w:val="0"/>
          <w:rtl w:val="0"/>
        </w:rPr>
        <w:t xml:space="preserve"> como um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link</w:t>
      </w:r>
      <w:r w:rsidDel="00000000" w:rsidR="00000000" w:rsidRPr="00000000">
        <w:rPr>
          <w:b w:val="0"/>
          <w:bCs w:val="0"/>
          <w:rtl w:val="0"/>
        </w:rPr>
        <w:t xml:space="preserve"> para um arquivo em doc/docx que deverá ter acesso livre.</w:t>
      </w:r>
    </w:p>
    <w:p w:rsidR="00000000" w:rsidDel="00000000" w:rsidP="00000000" w:rsidRDefault="00000000" w:rsidRPr="00000000" w14:paraId="00000005">
      <w:pPr>
        <w:ind w:left="3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93" w:hanging="360"/>
        <w:rPr>
          <w:b w:val="0"/>
          <w:bCs w:val="0"/>
        </w:rPr>
      </w:pPr>
      <w:r w:rsidDel="00000000" w:rsidR="00000000" w:rsidRPr="00000000">
        <w:rPr>
          <w:sz w:val="24"/>
          <w:szCs w:val="24"/>
          <w:rtl w:val="0"/>
        </w:rPr>
        <w:t xml:space="preserve">Características e detalhamento do orçamento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http://www.finep.gov.br/images/chamadas-publicas/2025/19_12_25_Anexo_04_Itens_de_Oramento_Centros_Temticos_2025.pdf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pStyle w:val="Heading2"/>
        <w:ind w:left="393" w:firstLine="0"/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Cada item do orçamento deverá ter um link de acesso livre para o documento do orçamento do mesmo item. Os dados para orçamento deverão ser em nome do IFG (Instituto Federal de Goiás (IFG), CNPJ: 10.870.883/0001-44, Rua C-222, s/n, quadra 500, lote área, bairro Jardim América, CEP: 74.270-035, Goiânia-GO, Podem manter seu nome, e-mail e telefone para contato no documento)</w:t>
      </w:r>
    </w:p>
    <w:p w:rsidR="00000000" w:rsidDel="00000000" w:rsidP="00000000" w:rsidRDefault="00000000" w:rsidRPr="00000000" w14:paraId="00000009">
      <w:pPr>
        <w:ind w:left="3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93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preenchimento adequado desse documento, deve ser seguida a orientação da FINEP em: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http://www.finep.gov.br/images/chamadas-publicas/2025/23_12_2025_Guia_Rapido.pdf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definição do TRL, buscar o link: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http://www.finep.gov.br/images/chamadas-publicas/2025/19_12_25_Anexo_02_Definio_TRL.pdf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o preenchimento da equipe, a FINEP destaca a instrução no link (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http://www.finep.gov.br/images/chamadas-publicas/2025/19_12_25_Anexo_08_Equipe_e_Atividades.pdf</w:t>
        </w:r>
      </w:hyperlink>
      <w:r w:rsidDel="00000000" w:rsidR="00000000" w:rsidRPr="00000000">
        <w:rPr>
          <w:sz w:val="24"/>
          <w:szCs w:val="24"/>
          <w:rtl w:val="0"/>
        </w:rPr>
        <w:t xml:space="preserve">) e é um anexo obrigatório no preenchimento da proposta (Apresentação de informações sobre equipe (conforme modelo do Anexo VIII)</w:t>
      </w:r>
    </w:p>
    <w:p w:rsidR="00000000" w:rsidDel="00000000" w:rsidP="00000000" w:rsidRDefault="00000000" w:rsidRPr="00000000" w14:paraId="0000000F">
      <w:pPr>
        <w:ind w:left="3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Caso haja bolsista e pagamento de pessoal no projeto, observar a instrução ANEXO V – CONDIÇÕES PARA DESPESAS RELATIVAS A BOLSAS e ANEXO VI PARA PAGAMENTOS (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http://www.finep.gov.br/images/chamadas-publicas/2025/19_12_25_Anexo_05_Bolsas.pdf</w:t>
        </w:r>
      </w:hyperlink>
      <w:r w:rsidDel="00000000" w:rsidR="00000000" w:rsidRPr="00000000">
        <w:rPr>
          <w:sz w:val="24"/>
          <w:szCs w:val="24"/>
          <w:rtl w:val="0"/>
        </w:rPr>
        <w:t xml:space="preserve">;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http://www.finep.gov.br/images/chamadas-publicas/2025/19_12_25_Anexo_06_Pagamento_de_Pessoal.pdf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ind w:left="3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 caso de obras, atenção ao link (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http://www.finep.gov.br/images/chamadas-publicas/2025/19_12_25_Anexo_03_Projeto_Resumido_Centros_Temticos_2025.pdf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ind w:left="3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Outros anexos serão necessários a depender do teor e da composição do projeto. ATENÇÃO NESSE PONTO PARA NÃO FALTAR DOCUMENTAÇÃO.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Dados Gerais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ind w:firstLine="33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ados Gerais do Projeto/Subprojeto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geográfica: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temática: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a situação atual e o que se busca solucionar com o projeto/subprojeto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situação atual: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objetivo central do projeto/subprojeto.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9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que se pretende alcançar ao final do período de execução do projeto/subprojeto.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esperados: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base na tabela de Áreas do Conhecimento do Conselho Nacional de Desenvolvimento Científico e Tecnológico (CNPq), informe a especialidade predominante do subprojeto.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tabela está disponível </w:t>
            </w:r>
            <w:hyperlink r:id="rId15">
              <w:r w:rsidDel="00000000" w:rsidR="00000000" w:rsidRPr="00000000">
                <w:rPr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aqui</w:t>
              </w:r>
            </w:hyperlink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do conhecimento: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Palavras-chave: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164136</wp:posOffset>
                </wp:positionV>
                <wp:extent cx="6823075" cy="180975"/>
                <wp:effectExtent b="0" l="0" r="0" t="0"/>
                <wp:wrapTopAndBottom distB="0" distT="0"/>
                <wp:docPr id="49777403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948750" y="370380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5" w:line="240"/>
                              <w:ind w:left="35" w:right="0" w:firstLine="1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Descrição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5" w:line="240"/>
                              <w:ind w:left="35" w:right="0" w:firstLine="1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164136</wp:posOffset>
                </wp:positionV>
                <wp:extent cx="6823075" cy="180975"/>
                <wp:effectExtent b="0" l="0" r="0" t="0"/>
                <wp:wrapTopAndBottom distB="0" distT="0"/>
                <wp:docPr id="4977740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Equipe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ind w:firstLine="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Equipe Beneficiada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98" w:line="271" w:lineRule="auto"/>
        <w:ind w:left="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Indique os principais pesquisadores e membros da equipe que atuarão no projeto/subprojeto. Conforme critérios do edital, qualificação e competência da equipe podem ser consideradas na etapa de avaliação de mérito.</w:t>
      </w:r>
    </w:p>
    <w:p w:rsidR="00000000" w:rsidDel="00000000" w:rsidP="00000000" w:rsidRDefault="00000000" w:rsidRPr="00000000" w14:paraId="0000005D">
      <w:pPr>
        <w:spacing w:before="27" w:lineRule="auto"/>
        <w:ind w:left="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coordenador do projeto/subprojeto deve ser obrigatoriamente incluído.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Membros da equipe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(ir adicionando um quadro para cada membro; pela FINEP só conta como equipe pessoas vinculadas a instituição do projeto)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Observar link FINEP: </w:t>
      </w:r>
      <w:hyperlink r:id="rId1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http://www.finep.gov.br/images/chamadas-publicas/2025/19_12_25_Anexo_08_Equipe_e_Atividades.pdf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Coordenador, Pesquisador ou Técnico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5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Resumo da Equipe</w:t>
      </w:r>
    </w:p>
    <w:p w:rsidR="00000000" w:rsidDel="00000000" w:rsidP="00000000" w:rsidRDefault="00000000" w:rsidRPr="00000000" w14:paraId="00000079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3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avaliação. Informações qualitativas sobre a equipe (10.000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29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9"/>
        <w:tblGridChange w:id="0">
          <w:tblGrid>
            <w:gridCol w:w="10729"/>
          </w:tblGrid>
        </w:tblGridChange>
      </w:tblGrid>
      <w:tr>
        <w:trPr>
          <w:cantSplit w:val="0"/>
          <w:trHeight w:val="500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Campo específico (numeração segue da plataforma)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Cada pergunta cabe até 10.000 caracteres.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5.10.1.Apresentar um diagnóstico que identifique as vocações, competências e estratégias da instituição e de cada unidade participante para a área temática escolhida.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5.10.2.Descrever claramente o produto ou processo a ser desenvolvido.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5.10.3.Especificar o grau de inovação e ineditismo, potencial de aplicação e exploração mercadológica de desenvolvimento do projeto de pesquisa.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5.10.4.Justificar o enquadramento da proposta e do produto ou processo inovador a ser desenvolvido na Linha Temática e no subtema escolhido. Caso haja relação com mais de 1 subtema, deve-se indicar o principal.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5.10.5.Apresentar o TRL Inicial, bem como as justificativas e comprovação para tal enquadramento.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5.10.6.Informar o TRL Final, pretendido ao final do projeto.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5.10.7.Apresentar a Metodologia de pesquisa para o desenvolvimento do projeto de pesquisa.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5.10.8.Apresentar o risco tecnológico associado ao desenvolvimento do produto ou processo e as medidas de mitigação desses riscos.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5.10.9.No caso de projeto prever coexecutores, apresentar como estes contribuirão para o desenvolvimento do projeto de pesquisa e/ou se beneficiarão do produto ou processo desenvolvido.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5.10.10.As propostas que indicarem ICTs públicas como executoras deverão apresentar cópia da sua Política de Inovação, em atendimento ao previsto no art. 15-A da Lei n° 10.973/2004 c/c art. §2º do art. 14, do Decreto n° 9.283/2018, que será considerada na avaliação de mérito da proposta.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5.10.11.Relatar experiência e dedicação da equipe executora das ICTs participes, sua competência na operação, informando os bolsistas de produtividade CNPq e as mais importantes produções (publicações, teses e dissertações, patentes etc.), bem como indicadores de prestação de serviços a ICTs e/ou empresas a área temática escolhida.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5.10.12.Relacionar os membros da equipe executora, bolsistas e pessoal a contratar ao cronograma físico, conforme modelo do Anexo VIII.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5.10.13.Apresentar a perspectiva de aumento do uso multiusuário da infraestrutura de pesquisa, abordando os programas e unidades internas e externas às instituições executoras, beneficiados com o apoio ao projeto (potencial de uso compartilhado dos equipamentos que estão sendo solicitados na proposta: áreas/programas beneficiados e número de discentes e docentes atendidos, bem como pesquisadores de outras instituições do Brasil e do exterior na área temática escolhida).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5.10.14.Discorrer sobre a possibilidade de atender, com a infraestrutura solicitada, às necessidades de análises e soluções para produtos e processos apresentados por Empresas, especificando a prestação de serviços especializados como, por exemplo, análises, ensaios técnicos, levantamentos, estudos, assessorias, soluções para produtos e processos apresentados por empresas, e as perspectivas de atuação, detalhando o percentual de tempo da operação dedicado às demandas de empresas.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5.10.15.Apresentar os Resultados e impactos esperados no desenvolvimento das atividades de pesquisa objeto da proposta, apresentando elementos quantificáveis a respeito das externalidades e do ransbordamento para a cadeia produtiva associada à linha temática como um todo. Para a área temática de defesa, apresentar informações a respeito do possível uso dual.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Se necessário, anexar abaixo documentos que apresentem informações adicionais ao que foi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informado nos demais campos desta seção.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Metas e Cronograma físico</w:t>
      </w:r>
    </w:p>
    <w:p w:rsidR="00000000" w:rsidDel="00000000" w:rsidP="00000000" w:rsidRDefault="00000000" w:rsidRPr="00000000" w14:paraId="000000A7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Infraestrutura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Infraestrutura de Pesquisa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existente relativa ao projeto/subprojeto: (10.000 caracteres)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2" w:lineRule="auto"/>
        <w:ind w:left="33" w:right="12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Liste os laboratórios e/ou equipamentos cadastrados na Plataforma Nacional de Infraestrutura e Pesquisa MCTI (PNIPE) relacionados ao projeto/subprojeto, se aplicável ao edital para o qual a proposta em preenchimento será enviada.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18414</wp:posOffset>
                </wp:positionH>
                <wp:positionV relativeFrom="paragraph">
                  <wp:posOffset>103119</wp:posOffset>
                </wp:positionV>
                <wp:extent cx="6800850" cy="158750"/>
                <wp:effectExtent b="0" l="0" r="0" t="0"/>
                <wp:wrapTopAndBottom distB="0" distT="0"/>
                <wp:docPr id="4977740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5575" y="3700625"/>
                          <a:ext cx="6800850" cy="158750"/>
                          <a:chOff x="1945575" y="3700625"/>
                          <a:chExt cx="6800850" cy="158750"/>
                        </a:xfrm>
                      </wpg:grpSpPr>
                      <wpg:grpSp>
                        <wpg:cNvGrpSpPr/>
                        <wpg:grpSpPr>
                          <a:xfrm>
                            <a:off x="1945575" y="3700625"/>
                            <a:ext cx="6800850" cy="158750"/>
                            <a:chOff x="1945575" y="3700525"/>
                            <a:chExt cx="6800850" cy="1589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45575" y="3700525"/>
                              <a:ext cx="6800850" cy="15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5575" y="3700625"/>
                              <a:ext cx="6800850" cy="158750"/>
                              <a:chOff x="1943975" y="3699025"/>
                              <a:chExt cx="6804050" cy="16195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943975" y="3699025"/>
                                <a:ext cx="6804050" cy="1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45575" y="3700625"/>
                                <a:ext cx="6800850" cy="158750"/>
                                <a:chOff x="0" y="0"/>
                                <a:chExt cx="6800850" cy="15875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68008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400425" y="3175"/>
                                  <a:ext cx="33972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45" w:line="240"/>
                                      <w:ind w:left="35" w:right="0" w:firstLine="105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Link da infraestrutura na plataforma: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175" y="3175"/>
                                  <a:ext cx="33972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45" w:line="240"/>
                                      <w:ind w:left="35" w:right="0" w:firstLine="105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Nome: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18414</wp:posOffset>
                </wp:positionH>
                <wp:positionV relativeFrom="paragraph">
                  <wp:posOffset>103119</wp:posOffset>
                </wp:positionV>
                <wp:extent cx="6800850" cy="158750"/>
                <wp:effectExtent b="0" l="0" r="0" t="0"/>
                <wp:wrapTopAndBottom distB="0" distT="0"/>
                <wp:docPr id="4977740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de pesquisa solicitada para o subprojeto, informando as sinergias com a infraestrutura de pesquisa existente: (10.000 caracteres)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Utilização da infraestrutura de pesquisa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5350"/>
        <w:tblGridChange w:id="0">
          <w:tblGrid>
            <w:gridCol w:w="2675"/>
            <w:gridCol w:w="2675"/>
            <w:gridCol w:w="535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Utilização da infraestrutura de pesquisa destacando o caráter multiusuário, quando for o caso.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1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unidades (departamentos/institutos/faculdades/escolas) da instituição executora envolvidas na utilização da infraestrutura de pesquisa existente e indique o número estimado de pesquisadores atualmente beneficiados: (10.000 caracteres)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1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unidades: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instituições (além da instituição executora) envolvidas na utilização da infraestrutura de pesquisa existente e indique o número estimado de pesquisadores beneficiados: (10.000 caracteres)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instituições: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0" w:right="2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os principais PROGRAMAS DE PÓS-GRADUAÇÃO da instituição executora e de outras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instituições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são diretamente beneficiados pela infraestrutura de pesquisa existent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(máximo de 20)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Programas de pós-graduação diretamente beneficiados: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2675"/>
        <w:gridCol w:w="2675"/>
        <w:tblGridChange w:id="0">
          <w:tblGrid>
            <w:gridCol w:w="2675"/>
            <w:gridCol w:w="2675"/>
            <w:gridCol w:w="2675"/>
            <w:gridCol w:w="267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Nível de pós-graduação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da avaliação da CAPES - mais recente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151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a perspectiva de aumento do uso multiusuário da infraestrutura de pesquisa, abordando os programas e unidades internas e externas à instituição executora, beneficiados com o apoio ao subprojeto: (10.000 caracteres)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Gestão do Uso da Infraestrutura de Pesquisa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Responda às questões e descreva a situação atual referente aos mecanismos de gestão adotados visando o uso multiusuário da infraestrutura de pesquisa afetada pelo subprojeto.</w:t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Existe no site da instituição executora página relacionada à infraestrutura de pesquisa existente?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18" w:type="default"/>
          <w:footerReference r:id="rId19" w:type="default"/>
          <w:pgSz w:h="16840" w:w="11900" w:orient="portrait"/>
          <w:pgMar w:bottom="900" w:top="1580" w:left="566" w:right="566" w:header="380" w:footer="69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regras definidas para agendamento, controle de acesso e uso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disponibilidade de agendamento on-line para uso do equipamento / infraestrutura?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Gestor relacionado à utilização multiusuária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51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de Usuários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Outras informações adicionais relevantes sobre a utilização multiusuária da infraestrutura de pesquisa: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Cronograma e marcos de acompanhamento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Cronograma de Execução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Meta numerada, Descrição da Atividade da Meta (100 palavras), Período em Meses de 1 a 36 e Indicador físico de cumprimento da meta. Fazer isso para todas.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Exemplo: Meta 1 – Aquisição de equipamentos para laboratório de Arquivo, 1 a 10 meses. 5 armários de arquivos.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110" w:lineRule="auto"/>
        <w:ind w:left="3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ORÇAMENTO</w:t>
      </w:r>
    </w:p>
    <w:p w:rsidR="00000000" w:rsidDel="00000000" w:rsidP="00000000" w:rsidRDefault="00000000" w:rsidRPr="00000000" w14:paraId="00000118">
      <w:pPr>
        <w:spacing w:before="110" w:lineRule="auto"/>
        <w:ind w:left="3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Relação de Itens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Orientações de Preenchimento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88584</wp:posOffset>
                </wp:positionV>
                <wp:extent cx="6823075" cy="847725"/>
                <wp:effectExtent b="0" l="0" r="0" t="0"/>
                <wp:wrapTopAndBottom distB="0" distT="0"/>
                <wp:docPr id="49777403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1948750" y="3370425"/>
                          <a:ext cx="6794500" cy="819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8.00000190734863" w:line="249.0000057220459"/>
                              <w:ind w:left="4297.0001220703125" w:right="0" w:firstLine="8976.00036621093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Recomenda-se, sempre que possível, agrupar itens de um mesmo tipo para cadastrá-los nas tabelas de rubricas.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ATENÇÃO! Item importante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Anexe todos os arquivos necessários para os itens de rubrica: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8.00000190734863" w:line="249.0000057220459"/>
                              <w:ind w:left="4297.0001220703125" w:right="0" w:firstLine="8976.00036621093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88584</wp:posOffset>
                </wp:positionV>
                <wp:extent cx="6823075" cy="847725"/>
                <wp:effectExtent b="0" l="0" r="0" t="0"/>
                <wp:wrapTopAndBottom distB="0" distT="0"/>
                <wp:docPr id="4977740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de capital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86195</wp:posOffset>
                </wp:positionV>
                <wp:extent cx="6823075" cy="294005"/>
                <wp:effectExtent b="0" l="0" r="0" t="0"/>
                <wp:wrapTopAndBottom distB="0" distT="0"/>
                <wp:docPr id="49777403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948750" y="3647285"/>
                          <a:ext cx="6794500" cy="2654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6.99999809265137" w:line="240"/>
                              <w:ind w:left="35" w:right="0" w:firstLine="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RUBRICA: EQUIPAMENTOS E MATERIAIS PERMANENTES NACIONAIS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7303</wp:posOffset>
                </wp:positionH>
                <wp:positionV relativeFrom="paragraph">
                  <wp:posOffset>86195</wp:posOffset>
                </wp:positionV>
                <wp:extent cx="6823075" cy="294005"/>
                <wp:effectExtent b="0" l="0" r="0" t="0"/>
                <wp:wrapTopAndBottom distB="0" distT="0"/>
                <wp:docPr id="4977740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2"/>
        <w:tblW w:w="10797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9"/>
        <w:gridCol w:w="1529"/>
        <w:gridCol w:w="584"/>
        <w:gridCol w:w="1039"/>
        <w:gridCol w:w="1529"/>
        <w:gridCol w:w="1529"/>
        <w:gridCol w:w="1529"/>
        <w:gridCol w:w="1529"/>
        <w:tblGridChange w:id="0">
          <w:tblGrid>
            <w:gridCol w:w="1529"/>
            <w:gridCol w:w="1529"/>
            <w:gridCol w:w="584"/>
            <w:gridCol w:w="1039"/>
            <w:gridCol w:w="1529"/>
            <w:gridCol w:w="1529"/>
            <w:gridCol w:w="1529"/>
            <w:gridCol w:w="1529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EQUIPAMENTOS E MATERIAIS PERMANENTES IMPORTADOS</w:t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4"/>
        <w:tblW w:w="1080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"/>
        <w:gridCol w:w="1070"/>
        <w:gridCol w:w="368"/>
        <w:gridCol w:w="1070"/>
        <w:gridCol w:w="1070"/>
        <w:gridCol w:w="1070"/>
        <w:gridCol w:w="1070"/>
        <w:gridCol w:w="1070"/>
        <w:gridCol w:w="1070"/>
        <w:gridCol w:w="1070"/>
        <w:gridCol w:w="1070"/>
        <w:tblGridChange w:id="0">
          <w:tblGrid>
            <w:gridCol w:w="807"/>
            <w:gridCol w:w="1070"/>
            <w:gridCol w:w="368"/>
            <w:gridCol w:w="1070"/>
            <w:gridCol w:w="1070"/>
            <w:gridCol w:w="1070"/>
            <w:gridCol w:w="1070"/>
            <w:gridCol w:w="1070"/>
            <w:gridCol w:w="1070"/>
            <w:gridCol w:w="1070"/>
            <w:gridCol w:w="1070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46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46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OBRAS E INSTALAÇÕES</w:t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6"/>
        <w:tblW w:w="10692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5"/>
        <w:gridCol w:w="1783"/>
        <w:gridCol w:w="1783"/>
        <w:gridCol w:w="1112"/>
        <w:gridCol w:w="1783"/>
        <w:gridCol w:w="1783"/>
        <w:gridCol w:w="1783"/>
        <w:tblGridChange w:id="0">
          <w:tblGrid>
            <w:gridCol w:w="665"/>
            <w:gridCol w:w="1783"/>
            <w:gridCol w:w="1783"/>
            <w:gridCol w:w="1112"/>
            <w:gridCol w:w="1783"/>
            <w:gridCol w:w="1783"/>
            <w:gridCol w:w="1783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obra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da obra (R$)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Correntes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PAGAMENTO DE PESSOAL</w:t>
            </w:r>
          </w:p>
        </w:tc>
      </w:tr>
    </w:tbl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53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478"/>
        <w:gridCol w:w="709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478"/>
            <w:gridCol w:w="709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7" w:right="9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NACIONAL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1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69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337"/>
        <w:gridCol w:w="992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337"/>
            <w:gridCol w:w="992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7" w:right="9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IMPORTADO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9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relação à documentação necessária para Material de Consumo Importado, consulte as exigências na chamada.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os itens com moeda estrangeira 'Outra', a proforma conterá a moeda efetivamente utilizada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1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671.999999999998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3"/>
        <w:gridCol w:w="973"/>
        <w:gridCol w:w="973"/>
        <w:gridCol w:w="973"/>
        <w:gridCol w:w="973"/>
        <w:gridCol w:w="973"/>
        <w:gridCol w:w="639"/>
        <w:gridCol w:w="709"/>
        <w:gridCol w:w="567"/>
        <w:gridCol w:w="973"/>
        <w:gridCol w:w="973"/>
        <w:gridCol w:w="973"/>
        <w:tblGridChange w:id="0">
          <w:tblGrid>
            <w:gridCol w:w="973"/>
            <w:gridCol w:w="973"/>
            <w:gridCol w:w="973"/>
            <w:gridCol w:w="973"/>
            <w:gridCol w:w="973"/>
            <w:gridCol w:w="973"/>
            <w:gridCol w:w="639"/>
            <w:gridCol w:w="709"/>
            <w:gridCol w:w="567"/>
            <w:gridCol w:w="973"/>
            <w:gridCol w:w="973"/>
            <w:gridCol w:w="973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366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4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Outros Serviços de Terceiros - Pessoa Jurídica (OSTPJ)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900" w:top="1580" w:left="566" w:right="566" w:header="38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-132393</wp:posOffset>
              </wp:positionH>
              <wp:positionV relativeFrom="paragraph">
                <wp:posOffset>10089431</wp:posOffset>
              </wp:positionV>
              <wp:extent cx="1744345" cy="266700"/>
              <wp:effectExtent b="0" l="0" r="0" t="0"/>
              <wp:wrapNone/>
              <wp:docPr id="497774035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488115" y="3660938"/>
                        <a:ext cx="171577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quinta-feira, 20 de novembro de 2025 às 13:56:42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1.99999809265137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[RASCUNHO]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-132393</wp:posOffset>
              </wp:positionH>
              <wp:positionV relativeFrom="paragraph">
                <wp:posOffset>10089431</wp:posOffset>
              </wp:positionV>
              <wp:extent cx="1744345" cy="266700"/>
              <wp:effectExtent b="0" l="0" r="0" t="0"/>
              <wp:wrapNone/>
              <wp:docPr id="49777403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34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5009325</wp:posOffset>
              </wp:positionH>
              <wp:positionV relativeFrom="paragraph">
                <wp:posOffset>10089431</wp:posOffset>
              </wp:positionV>
              <wp:extent cx="1999614" cy="266700"/>
              <wp:effectExtent b="0" l="0" r="0" t="0"/>
              <wp:wrapNone/>
              <wp:docPr id="497774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60481" y="3660938"/>
                        <a:ext cx="1971039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0" w:right="78.0000019073486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Copyright © 2025. FINEP - Todos os direitos reservados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1.99999809265137" w:line="240"/>
                            <w:ind w:left="0" w:right="78.0000019073486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Página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5009325</wp:posOffset>
              </wp:positionH>
              <wp:positionV relativeFrom="paragraph">
                <wp:posOffset>10089431</wp:posOffset>
              </wp:positionV>
              <wp:extent cx="1999614" cy="266700"/>
              <wp:effectExtent b="0" l="0" r="0" t="0"/>
              <wp:wrapNone/>
              <wp:docPr id="497774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9614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b="0" l="0" r="0" t="0"/>
          <wp:wrapNone/>
          <wp:docPr id="497774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419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3" w:hanging="360"/>
      </w:pPr>
      <w:rPr/>
    </w:lvl>
    <w:lvl w:ilvl="1">
      <w:start w:val="1"/>
      <w:numFmt w:val="lowerLetter"/>
      <w:lvlText w:val="%2."/>
      <w:lvlJc w:val="left"/>
      <w:pPr>
        <w:ind w:left="1113" w:hanging="360"/>
      </w:pPr>
      <w:rPr/>
    </w:lvl>
    <w:lvl w:ilvl="2">
      <w:start w:val="1"/>
      <w:numFmt w:val="lowerRoman"/>
      <w:lvlText w:val="%3."/>
      <w:lvlJc w:val="right"/>
      <w:pPr>
        <w:ind w:left="1833" w:hanging="180"/>
      </w:pPr>
      <w:rPr/>
    </w:lvl>
    <w:lvl w:ilvl="3">
      <w:start w:val="1"/>
      <w:numFmt w:val="decimal"/>
      <w:lvlText w:val="%4."/>
      <w:lvlJc w:val="left"/>
      <w:pPr>
        <w:ind w:left="2553" w:hanging="360"/>
      </w:pPr>
      <w:rPr/>
    </w:lvl>
    <w:lvl w:ilvl="4">
      <w:start w:val="1"/>
      <w:numFmt w:val="lowerLetter"/>
      <w:lvlText w:val="%5."/>
      <w:lvlJc w:val="left"/>
      <w:pPr>
        <w:ind w:left="3273" w:hanging="360"/>
      </w:pPr>
      <w:rPr/>
    </w:lvl>
    <w:lvl w:ilvl="5">
      <w:start w:val="1"/>
      <w:numFmt w:val="lowerRoman"/>
      <w:lvlText w:val="%6."/>
      <w:lvlJc w:val="right"/>
      <w:pPr>
        <w:ind w:left="3993" w:hanging="180"/>
      </w:pPr>
      <w:rPr/>
    </w:lvl>
    <w:lvl w:ilvl="6">
      <w:start w:val="1"/>
      <w:numFmt w:val="decimal"/>
      <w:lvlText w:val="%7."/>
      <w:lvlJc w:val="left"/>
      <w:pPr>
        <w:ind w:left="4713" w:hanging="360"/>
      </w:pPr>
      <w:rPr/>
    </w:lvl>
    <w:lvl w:ilvl="7">
      <w:start w:val="1"/>
      <w:numFmt w:val="lowerLetter"/>
      <w:lvlText w:val="%8."/>
      <w:lvlJc w:val="left"/>
      <w:pPr>
        <w:ind w:left="5433" w:hanging="360"/>
      </w:pPr>
      <w:rPr/>
    </w:lvl>
    <w:lvl w:ilvl="8">
      <w:start w:val="1"/>
      <w:numFmt w:val="lowerRoman"/>
      <w:lvlText w:val="%9."/>
      <w:lvlJc w:val="right"/>
      <w:pPr>
        <w:ind w:left="615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spacing w:before="82" w:lineRule="auto"/>
      <w:ind w:left="33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3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" w:right="1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46" w:line="184" w:lineRule="exact"/>
      <w:ind w:left="40"/>
    </w:pPr>
  </w:style>
  <w:style w:type="character" w:styleId="Hyperlink">
    <w:name w:val="Hyperlink"/>
    <w:basedOn w:val="Fontepargpadro"/>
    <w:uiPriority w:val="99"/>
    <w:unhideWhenUsed w:val="1"/>
    <w:rsid w:val="00CB58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B585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inep.gov.br/images/chamadas-publicas/2025/19_12_25_Anexo_08_Equipe_e_Atividades.pdf" TargetMode="External"/><Relationship Id="rId10" Type="http://schemas.openxmlformats.org/officeDocument/2006/relationships/hyperlink" Target="http://www.finep.gov.br/images/chamadas-publicas/2025/19_12_25_Anexo_02_Definio_TRL.pdf" TargetMode="External"/><Relationship Id="rId13" Type="http://schemas.openxmlformats.org/officeDocument/2006/relationships/hyperlink" Target="http://www.finep.gov.br/images/chamadas-publicas/2025/19_12_25_Anexo_06_Pagamento_de_Pessoal.pdf" TargetMode="External"/><Relationship Id="rId12" Type="http://schemas.openxmlformats.org/officeDocument/2006/relationships/hyperlink" Target="http://www.finep.gov.br/images/chamadas-publicas/2025/19_12_25_Anexo_05_Bolsa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inep.gov.br/images/chamadas-publicas/2025/23_12_2025_Guia_Rapido.pdf" TargetMode="External"/><Relationship Id="rId15" Type="http://schemas.openxmlformats.org/officeDocument/2006/relationships/hyperlink" Target="http://lattes.cnpq.br/documents/11871/24930/TabeladeAreasdoConhecimento.pdf" TargetMode="External"/><Relationship Id="rId14" Type="http://schemas.openxmlformats.org/officeDocument/2006/relationships/hyperlink" Target="http://www.finep.gov.br/images/chamadas-publicas/2025/19_12_25_Anexo_03_Projeto_Resumido_Centros_Temticos_2025.pdf" TargetMode="External"/><Relationship Id="rId17" Type="http://schemas.openxmlformats.org/officeDocument/2006/relationships/hyperlink" Target="http://www.finep.gov.br/images/chamadas-publicas/2025/19_12_25_Anexo_08_Equipe_e_Atividades.pdf" TargetMode="Externa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cadastro.finep.gov.br/cadastro/" TargetMode="External"/><Relationship Id="rId8" Type="http://schemas.openxmlformats.org/officeDocument/2006/relationships/hyperlink" Target="http://www.finep.gov.br/images/chamadas-publicas/2025/19_12_25_Anexo_04_Itens_de_Oramento_Centros_Temticos_2025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ZbySHkDeKloDb74rH1HQETZ6A==">CgMxLjA4AHIhMU01VGF5eWI5X1RGTEp2ZW10Uk1KZklWSVdqMEcwenM5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2025-11-21T10:00:00Z</dcterms:created>
  <dc:creator>CITELAB IFG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iText® 5.5.12 ©2000-2017 iText Group NV (AGPL-version)</vt:lpwstr>
  </property>
  <property fmtid="{D5CDD505-2E9C-101B-9397-08002B2CF9AE}" pid="5" name="GrammarlyDocumentId">
    <vt:lpwstr>40c43a6a-0700-4b22-b105-417a2bf795ac</vt:lpwstr>
  </property>
</Properties>
</file>